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276" w:rsidRDefault="004A3069" w:rsidP="004A3069">
      <w:pPr>
        <w:pStyle w:val="af4"/>
        <w:spacing w:after="0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A3069">
        <w:rPr>
          <w:rFonts w:ascii="Times New Roman" w:hAnsi="Times New Roman" w:cs="Times New Roman"/>
          <w:sz w:val="28"/>
          <w:szCs w:val="28"/>
          <w:lang w:val="ru-RU"/>
        </w:rPr>
        <w:t xml:space="preserve">УТВЕРЖДЕН </w:t>
      </w:r>
    </w:p>
    <w:p w:rsidR="004A3069" w:rsidRPr="004A3069" w:rsidRDefault="004A3069" w:rsidP="004A3069">
      <w:pPr>
        <w:pStyle w:val="af4"/>
        <w:spacing w:after="0"/>
        <w:ind w:left="538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постановлением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Совета Министров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Союзного государства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от                   №</w:t>
      </w:r>
    </w:p>
    <w:p w:rsidR="004A3069" w:rsidRDefault="004A3069">
      <w:pPr>
        <w:pStyle w:val="af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A3069" w:rsidRDefault="004A3069">
      <w:pPr>
        <w:pStyle w:val="af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0276" w:rsidRDefault="0029416D">
      <w:pPr>
        <w:pStyle w:val="af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формирования, утверждения и реализации перечня проектов по внедрению промышленного программного обеспечения на предприятиях </w:t>
      </w:r>
      <w:r w:rsidR="00993453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Союзного государства</w:t>
      </w:r>
    </w:p>
    <w:p w:rsidR="00440276" w:rsidRDefault="00440276">
      <w:pPr>
        <w:pStyle w:val="af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0276" w:rsidRDefault="0029416D">
      <w:pPr>
        <w:pStyle w:val="af4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440276" w:rsidRDefault="00440276">
      <w:pPr>
        <w:pStyle w:val="af4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Настоящий порядок устанавливает правила формирования Перечня проектов по внедрению промышленного программного обеспечения на предприятиях Союзного государства, реализация которых направлена на обеспечение ускоренного развития промышленности в Российской Федерации и Республики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Беларусь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далее – Перечень совместных проектов).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Термины и сокращения, используемые в настоящем Порядке, означают следующее: 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«ИТ-ландшафт потребностей Союзного государства» – приоритетные направления внедрения программного обеспечения разработчиков Российской Федерации и Республики Беларусь на промышленных предприятиях Союзного государства; </w:t>
      </w:r>
    </w:p>
    <w:p w:rsidR="00440276" w:rsidRDefault="0029416D">
      <w:pPr>
        <w:pStyle w:val="af4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«Масштабирование» – увеличение количества внедренных единиц результата реализованного Совместного проекта и (или) расширение его применения;</w:t>
      </w:r>
    </w:p>
    <w:p w:rsidR="00440276" w:rsidRDefault="0029416D">
      <w:pPr>
        <w:pStyle w:val="af4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«Национальные заказчики» – юридические лица, зарегистрированные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на территории Российской Федерации или Республики Беларусь, в интересах которых реализуется Совместный проект и которые заинтересованы в масштабировании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его результатов;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«Перечень ИТ-потребностей» – список используемого промышленными предприятиями Союзного государства зарубежного программного обеспечения, потребность в котором или в его замещении является критичной, поименованного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ИТ-ландшафте потребностей Союзного государства;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«Предприятия Союзного государства» – юридические лица, зарегистрированные на территории Республики Беларусь или Российской Федерации;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«Промышленное программное обеспечение» – компьютерные программы для электронных вычислительных машин и баз данных, необходимые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промышленных предприятий Союзного государства;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«Программный продукт» – программное обеспечение, разработанное (доработанное) по итогам реализации Совместного продукта, доступное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к использованию в соответствующей отрасли или нескольких отраслях промышленности;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«Совместные проекты» – проекты по внедрению (включая разработку или доработку) промышленного программного обеспечения на предприятиях Союзного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государства, соответствующие ИТ-ландшафту потребностей Союзного государства, включенные в Перечень совместных проектов;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Тиражируемость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– способность программного обеспечения в базовом варианте без доработок под каждого конкретного пользователя использоваться различными заказчиками в различных отраслях промышленности;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«Уполномоченные органы» – органы государственной власти, иные органы Российской Федерации и Республики Беларусь, наделенные в соответствии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с национальным законодательством, а также законодательства Союзного государства полномочиями на осуществление функций в рамках реализации настоящего Порядка.</w:t>
      </w:r>
    </w:p>
    <w:p w:rsidR="00440276" w:rsidRDefault="00440276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0276" w:rsidRDefault="0029416D">
      <w:pPr>
        <w:pStyle w:val="af4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Формирование ИТ-ландшафта потребностей Союзного государства</w:t>
      </w:r>
    </w:p>
    <w:p w:rsidR="00440276" w:rsidRDefault="00440276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Совместные проекты направлены на цифровое преобразование отраслей промышленности на основе внедрения промышленного программного обеспечения Союзного государства и реализуются по приоритетным направлениям в соответствии с ИТ-ландшафтом потребностей Союзного государства.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ИТ-ландшафт потребностей Союзного государства формируется Рабочей группой между Российской Федерацией и Республикой Беларусь по вопросам разработки и реализации совместных решений в области промышленного программного обеспечения, сформированной во исполнение протокольного решения Группы высокого уровня Совета Министров Союзного государства от 22 ноября 2022</w:t>
      </w:r>
      <w:r w:rsidR="000F5304">
        <w:rPr>
          <w:rFonts w:ascii="Times New Roman" w:hAnsi="Times New Roman" w:cs="Times New Roman"/>
          <w:sz w:val="28"/>
          <w:szCs w:val="28"/>
          <w:lang w:val="ru-RU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г. № 23 (далее – Рабочая группа), на основании Перечней ИТ-потребностей Российской Федерации и Республики Беларусь.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формировании ИТ-ландшафта потребностей Союзного государства Рабочая группа: 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оценивает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Перечни ИТ-потребностей на приоритетность для отраслей промышленности;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консолидацию потребностей в промышленном программном обеспечении по их функциональной и отраслевой специфике.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Перечни ИТ-потребностей Российской Федерации и Республики Беларусь формируются по мере необходимости Уполномоченными органами с учетом значимости проектов для осуществления рабочих процессов с указанием объема финансирования, необходимого для их реализации.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Порядок формирования и представления Рабочей группе Перечней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ИТ-потребностей определяется Уполномоченными органами в рамках национального законодательства.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Актуальный ИТ-ландшафт потребностей Союзного государства ежегодно размещается в государственных информационных системах 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и Республики Беларусь, определяемых Уполномоченными органами. </w:t>
      </w:r>
    </w:p>
    <w:p w:rsidR="00440276" w:rsidRDefault="00440276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Порядок утверждения и реализации Перечня совместных проектов</w:t>
      </w:r>
    </w:p>
    <w:p w:rsidR="00440276" w:rsidRDefault="00440276">
      <w:pPr>
        <w:pStyle w:val="af4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Перечень совместных проектов формируется Рабочей группой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и утверждается Группой высокого уровня Совета Министров Союзного государства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 основании ИТ-ландшафта потребностей Союзного государства.</w:t>
      </w:r>
    </w:p>
    <w:p w:rsidR="00440276" w:rsidRDefault="0029416D">
      <w:pPr>
        <w:pStyle w:val="af4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Рабочая группа при утверждении Перечня совместных проектов принимает во внимание следующие критерии:</w:t>
      </w:r>
    </w:p>
    <w:p w:rsidR="00440276" w:rsidRDefault="0029416D">
      <w:pPr>
        <w:pStyle w:val="af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актуальность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технологий, положенных в основу Совместного проекта;</w:t>
      </w:r>
    </w:p>
    <w:p w:rsidR="00440276" w:rsidRDefault="0029416D">
      <w:pPr>
        <w:pStyle w:val="af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социально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-экономический эффект от реализации Совместного проекта;</w:t>
      </w:r>
    </w:p>
    <w:p w:rsidR="00440276" w:rsidRDefault="0029416D">
      <w:pPr>
        <w:pStyle w:val="af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универсальность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проектов для отрасли(ей) промышленности; </w:t>
      </w:r>
    </w:p>
    <w:p w:rsidR="00440276" w:rsidRDefault="0029416D">
      <w:pPr>
        <w:pStyle w:val="af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наличие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потенциала тиражирования и масштабирования программного обеспечения, внедряемого (включая его разработку или доработку) в рамках реализации Совместного проекта, а также его экспортного потенциала.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 Совместные проекты реализуются в соответствии с порядком, установленным национальным законодательством.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Финансирование Совместных проектов осуществляется за счет средств Национального заказчика и иных средств, не запрещенных национальными нормативными правовыми актами в случаях и порядке, предусмотренном им. 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 Совместный проект считается реализованным с начала эксплуатации Программного продукта на предприятиях Союзного государства.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 Порядок использования прав на Программный продукт определяется национальным законодательством.</w:t>
      </w:r>
    </w:p>
    <w:p w:rsidR="00440276" w:rsidRDefault="00440276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0276" w:rsidRDefault="0029416D">
      <w:pPr>
        <w:pStyle w:val="af4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IV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Мониторинг и контроль реализации Совместных проектов</w:t>
      </w:r>
    </w:p>
    <w:p w:rsidR="00440276" w:rsidRDefault="00440276">
      <w:pPr>
        <w:pStyle w:val="af4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 Мониторинг и контроль реализации Совместных проектов осуществляется Рабочей группой.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 Объектом мониторинга является ход реализации Совместных проектов. Объектом контроля является выполнение сроков этапов Совместных проектов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и достижение заявленных параметров проектов.</w:t>
      </w:r>
    </w:p>
    <w:p w:rsidR="00440276" w:rsidRDefault="0029416D">
      <w:pPr>
        <w:pStyle w:val="af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15. Рабочая группа вправе запрашивать и получать аналитические, справочные и иные материалы о ходе реализации Совместных проектов.</w:t>
      </w:r>
    </w:p>
    <w:sectPr w:rsidR="00440276">
      <w:headerReference w:type="default" r:id="rId8"/>
      <w:headerReference w:type="firs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760" w:rsidRDefault="00B03760">
      <w:pPr>
        <w:spacing w:after="0" w:line="240" w:lineRule="auto"/>
      </w:pPr>
      <w:r>
        <w:separator/>
      </w:r>
    </w:p>
  </w:endnote>
  <w:endnote w:type="continuationSeparator" w:id="0">
    <w:p w:rsidR="00B03760" w:rsidRDefault="00B0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760" w:rsidRDefault="00B03760">
      <w:pPr>
        <w:spacing w:after="0" w:line="240" w:lineRule="auto"/>
      </w:pPr>
      <w:r>
        <w:separator/>
      </w:r>
    </w:p>
  </w:footnote>
  <w:footnote w:type="continuationSeparator" w:id="0">
    <w:p w:rsidR="00B03760" w:rsidRDefault="00B03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276" w:rsidRDefault="0029416D">
    <w:pPr>
      <w:pStyle w:val="af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0F5304">
      <w:rPr>
        <w:rFonts w:ascii="Times New Roman" w:hAnsi="Times New Roman" w:cs="Times New Roman"/>
        <w:noProof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440276" w:rsidRDefault="00440276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276" w:rsidRDefault="0029416D">
    <w:pPr>
      <w:pStyle w:val="af7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3E3C"/>
    <w:multiLevelType w:val="hybridMultilevel"/>
    <w:tmpl w:val="74C8A500"/>
    <w:lvl w:ilvl="0" w:tplc="825A5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CA0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24C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85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CB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D0F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A5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013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A9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A391D"/>
    <w:multiLevelType w:val="hybridMultilevel"/>
    <w:tmpl w:val="86002922"/>
    <w:lvl w:ilvl="0" w:tplc="5A2A6130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D668EDCC">
      <w:start w:val="1"/>
      <w:numFmt w:val="lowerLetter"/>
      <w:lvlText w:val="%2."/>
      <w:lvlJc w:val="left"/>
      <w:pPr>
        <w:ind w:left="1789" w:hanging="360"/>
      </w:pPr>
    </w:lvl>
    <w:lvl w:ilvl="2" w:tplc="516032EC">
      <w:start w:val="1"/>
      <w:numFmt w:val="lowerRoman"/>
      <w:lvlText w:val="%3."/>
      <w:lvlJc w:val="right"/>
      <w:pPr>
        <w:ind w:left="2509" w:hanging="180"/>
      </w:pPr>
    </w:lvl>
    <w:lvl w:ilvl="3" w:tplc="D0088348">
      <w:start w:val="1"/>
      <w:numFmt w:val="decimal"/>
      <w:lvlText w:val="%4."/>
      <w:lvlJc w:val="left"/>
      <w:pPr>
        <w:ind w:left="3229" w:hanging="360"/>
      </w:pPr>
    </w:lvl>
    <w:lvl w:ilvl="4" w:tplc="C03C579E">
      <w:start w:val="1"/>
      <w:numFmt w:val="lowerLetter"/>
      <w:lvlText w:val="%5."/>
      <w:lvlJc w:val="left"/>
      <w:pPr>
        <w:ind w:left="3949" w:hanging="360"/>
      </w:pPr>
    </w:lvl>
    <w:lvl w:ilvl="5" w:tplc="D6A65CA0">
      <w:start w:val="1"/>
      <w:numFmt w:val="lowerRoman"/>
      <w:lvlText w:val="%6."/>
      <w:lvlJc w:val="right"/>
      <w:pPr>
        <w:ind w:left="4669" w:hanging="180"/>
      </w:pPr>
    </w:lvl>
    <w:lvl w:ilvl="6" w:tplc="C3FC5800">
      <w:start w:val="1"/>
      <w:numFmt w:val="decimal"/>
      <w:lvlText w:val="%7."/>
      <w:lvlJc w:val="left"/>
      <w:pPr>
        <w:ind w:left="5389" w:hanging="360"/>
      </w:pPr>
    </w:lvl>
    <w:lvl w:ilvl="7" w:tplc="791EDE46">
      <w:start w:val="1"/>
      <w:numFmt w:val="lowerLetter"/>
      <w:lvlText w:val="%8."/>
      <w:lvlJc w:val="left"/>
      <w:pPr>
        <w:ind w:left="6109" w:hanging="360"/>
      </w:pPr>
    </w:lvl>
    <w:lvl w:ilvl="8" w:tplc="B40A7EC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6C3290"/>
    <w:multiLevelType w:val="hybridMultilevel"/>
    <w:tmpl w:val="DBA00582"/>
    <w:lvl w:ilvl="0" w:tplc="B7BE8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8A65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8C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28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67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F43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6F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05C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F60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76"/>
    <w:rsid w:val="000F5304"/>
    <w:rsid w:val="0029416D"/>
    <w:rsid w:val="00440276"/>
    <w:rsid w:val="004A3069"/>
    <w:rsid w:val="00754B27"/>
    <w:rsid w:val="00993453"/>
    <w:rsid w:val="00B0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A56F4-3255-42ED-93C0-6ADAC331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ody Text"/>
    <w:basedOn w:val="a"/>
    <w:link w:val="af5"/>
    <w:pPr>
      <w:widowControl w:val="0"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af5">
    <w:name w:val="Основной текст Знак"/>
    <w:basedOn w:val="a0"/>
    <w:link w:val="af4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Hyperlink"/>
    <w:basedOn w:val="a0"/>
    <w:uiPriority w:val="99"/>
    <w:rPr>
      <w:color w:val="0563C1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47955-0B2D-4D7D-A4FF-B34DEFE1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Рытова Дарья Андреевна</dc:creator>
  <cp:lastModifiedBy>Макарова Светлана Васильевна</cp:lastModifiedBy>
  <cp:revision>17</cp:revision>
  <cp:lastPrinted>2023-12-25T13:45:00Z</cp:lastPrinted>
  <dcterms:created xsi:type="dcterms:W3CDTF">2023-11-15T11:58:00Z</dcterms:created>
  <dcterms:modified xsi:type="dcterms:W3CDTF">2023-12-25T13:52:00Z</dcterms:modified>
</cp:coreProperties>
</file>